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F653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6FB5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Приказ Минстроя России от 10.04.2017 N 699/пр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</w:t>
            </w:r>
            <w:r>
              <w:rPr>
                <w:sz w:val="34"/>
                <w:szCs w:val="34"/>
              </w:rPr>
              <w:t>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</w:t>
            </w:r>
            <w:r>
              <w:rPr>
                <w:sz w:val="34"/>
                <w:szCs w:val="34"/>
              </w:rPr>
              <w:t>тальном ремонте особо опасных, технически сложных и уникальных объектов"</w:t>
            </w:r>
            <w:r>
              <w:rPr>
                <w:sz w:val="34"/>
                <w:szCs w:val="34"/>
              </w:rPr>
              <w:br/>
              <w:t>(Зарегистрировано в Минюсте России 12.05.2017 N 46692)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6F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6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6FB5">
      <w:pPr>
        <w:pStyle w:val="ConsPlusNormal"/>
        <w:jc w:val="both"/>
        <w:outlineLvl w:val="0"/>
      </w:pPr>
    </w:p>
    <w:p w:rsidR="00000000" w:rsidRDefault="00ED6FB5">
      <w:pPr>
        <w:pStyle w:val="ConsPlusNormal"/>
        <w:outlineLvl w:val="0"/>
      </w:pPr>
      <w:r>
        <w:t>Зарегистрировано в Минюсте России 12 мая 2017 г. N 46692</w:t>
      </w:r>
    </w:p>
    <w:p w:rsidR="00000000" w:rsidRDefault="00ED6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ED6FB5">
      <w:pPr>
        <w:pStyle w:val="ConsPlusTitle"/>
        <w:jc w:val="center"/>
      </w:pPr>
      <w:r>
        <w:t>ХОЗЯЙСТВА РОССИЙСКОЙ ФЕДЕРАЦИИ</w:t>
      </w:r>
    </w:p>
    <w:p w:rsidR="00000000" w:rsidRDefault="00ED6FB5">
      <w:pPr>
        <w:pStyle w:val="ConsPlusTitle"/>
        <w:jc w:val="center"/>
      </w:pPr>
    </w:p>
    <w:p w:rsidR="00000000" w:rsidRDefault="00ED6FB5">
      <w:pPr>
        <w:pStyle w:val="ConsPlusTitle"/>
        <w:jc w:val="center"/>
      </w:pPr>
      <w:r>
        <w:t>ПРИКАЗ</w:t>
      </w:r>
    </w:p>
    <w:p w:rsidR="00000000" w:rsidRDefault="00ED6FB5">
      <w:pPr>
        <w:pStyle w:val="ConsPlusTitle"/>
        <w:jc w:val="center"/>
      </w:pPr>
      <w:r>
        <w:t>от 10 апреля 2017 г. N 699/пр</w:t>
      </w:r>
    </w:p>
    <w:p w:rsidR="00000000" w:rsidRDefault="00ED6FB5">
      <w:pPr>
        <w:pStyle w:val="ConsPlusTitle"/>
        <w:jc w:val="center"/>
      </w:pPr>
    </w:p>
    <w:p w:rsidR="00000000" w:rsidRDefault="00ED6FB5">
      <w:pPr>
        <w:pStyle w:val="ConsPlusTitle"/>
        <w:jc w:val="center"/>
      </w:pPr>
      <w:r>
        <w:t>ОБ УТВЕРЖДЕНИИ МЕТОДИКИ</w:t>
      </w:r>
    </w:p>
    <w:p w:rsidR="00000000" w:rsidRDefault="00ED6FB5">
      <w:pPr>
        <w:pStyle w:val="ConsPlusTitle"/>
        <w:jc w:val="center"/>
      </w:pPr>
      <w:r>
        <w:t>РАСЧЕТА ЗНАЧЕНИЙ ПОКАЗАТЕЛЕЙ, ИСПОЛЬЗУЕМЫХ ДЛЯ ОЦЕНК</w:t>
      </w:r>
      <w:r>
        <w:t>И</w:t>
      </w:r>
    </w:p>
    <w:p w:rsidR="00000000" w:rsidRDefault="00ED6FB5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000000" w:rsidRDefault="00ED6FB5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000000" w:rsidRDefault="00ED6FB5">
      <w:pPr>
        <w:pStyle w:val="ConsPlusTitle"/>
        <w:jc w:val="center"/>
      </w:pPr>
      <w:r>
        <w:t>ИХ НЕСОБЛЮДЕНИЯ ЧЛЕНОМ САМОРЕГУЛИРУЕМОЙ ОРГАНИЗАЦИИ</w:t>
      </w:r>
    </w:p>
    <w:p w:rsidR="00000000" w:rsidRDefault="00ED6FB5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000000" w:rsidRDefault="00ED6FB5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000000" w:rsidRDefault="00ED6FB5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000000" w:rsidRDefault="00ED6FB5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000000" w:rsidRDefault="00ED6FB5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000000" w:rsidRDefault="00ED6FB5">
      <w:pPr>
        <w:pStyle w:val="ConsPlusTitle"/>
        <w:jc w:val="center"/>
      </w:pPr>
      <w:r>
        <w:t>ОПАСНЫХ, ТЕХНИЧЕСКИ СЛОЖН</w:t>
      </w:r>
      <w:r>
        <w:t>ЫХ И УНИКАЛЬНЫХ ОБЪЕКТОВ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55.13</w:t>
        </w:r>
      </w:hyperlink>
      <w:r>
        <w:t xml:space="preserve"> Градостроительного кодекса Российской Федерации (Собрание законодательства Российской</w:t>
      </w:r>
      <w:r>
        <w:t xml:space="preserve"> Федерации, 2005, N 1, ст. 16; 2010, N 31, ст. 4209; 2016, N 27, ст. 4305; 2017, N 11, ст. 1540) приказываю: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1" w:tooltip="МЕТОДИКА" w:history="1">
        <w:r>
          <w:rPr>
            <w:color w:val="0000FF"/>
          </w:rPr>
          <w:t>Методику</w:t>
        </w:r>
      </w:hyperlink>
      <w:r>
        <w:t xml:space="preserve"> расчета значений показателей, используемых для оценки тяжести потенциальных негативных по</w:t>
      </w:r>
      <w:r>
        <w:t xml:space="preserve">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</w:t>
      </w:r>
      <w:r>
        <w:t>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согласно приложению к настоящему приказу.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2017 года.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</w:pPr>
      <w:r>
        <w:t>Министр</w:t>
      </w:r>
    </w:p>
    <w:p w:rsidR="00000000" w:rsidRDefault="00ED6FB5">
      <w:pPr>
        <w:pStyle w:val="ConsPlusNormal"/>
        <w:jc w:val="right"/>
      </w:pPr>
      <w:r>
        <w:t>М.А.МЕНЬ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0"/>
      </w:pPr>
      <w:r>
        <w:t>Приложение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</w:pPr>
      <w:r>
        <w:t>Утверждена</w:t>
      </w:r>
    </w:p>
    <w:p w:rsidR="00000000" w:rsidRDefault="00ED6FB5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000000" w:rsidRDefault="00ED6FB5">
      <w:pPr>
        <w:pStyle w:val="ConsPlusNormal"/>
        <w:jc w:val="right"/>
      </w:pPr>
      <w:r>
        <w:t>и жилищно-коммунального хозяйства</w:t>
      </w:r>
    </w:p>
    <w:p w:rsidR="00000000" w:rsidRDefault="00ED6FB5">
      <w:pPr>
        <w:pStyle w:val="ConsPlusNormal"/>
        <w:jc w:val="right"/>
      </w:pPr>
      <w:r>
        <w:t>Российской Федерации</w:t>
      </w:r>
    </w:p>
    <w:p w:rsidR="00000000" w:rsidRDefault="00ED6FB5">
      <w:pPr>
        <w:pStyle w:val="ConsPlusNormal"/>
        <w:jc w:val="right"/>
      </w:pPr>
      <w:r>
        <w:t>от 10 апреля 2017 г. N 699/пр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Title"/>
        <w:jc w:val="center"/>
      </w:pPr>
      <w:bookmarkStart w:id="0" w:name="Par41"/>
      <w:bookmarkEnd w:id="0"/>
      <w:r>
        <w:t>МЕТОДИКА</w:t>
      </w:r>
    </w:p>
    <w:p w:rsidR="00000000" w:rsidRDefault="00ED6FB5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000000" w:rsidRDefault="00ED6FB5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000000" w:rsidRDefault="00ED6FB5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000000" w:rsidRDefault="00ED6FB5">
      <w:pPr>
        <w:pStyle w:val="ConsPlusTitle"/>
        <w:jc w:val="center"/>
      </w:pPr>
      <w:r>
        <w:t>ИХ НЕСОБЛЮДЕНИЯ ЧЛЕНОМ САМОРЕГУЛИРУЕМОЙ ОРГАНИЗАЦИИ</w:t>
      </w:r>
    </w:p>
    <w:p w:rsidR="00000000" w:rsidRDefault="00ED6FB5">
      <w:pPr>
        <w:pStyle w:val="ConsPlusTitle"/>
        <w:jc w:val="center"/>
      </w:pPr>
      <w:r>
        <w:t>В ОБЛАСТИ ИНЖЕНЕРНЫХ ИЗЫСКАНИЙ, АРХИТ</w:t>
      </w:r>
      <w:r>
        <w:t>ЕКТУРНО-СТРОИТЕЛЬНОГО</w:t>
      </w:r>
    </w:p>
    <w:p w:rsidR="00000000" w:rsidRDefault="00ED6FB5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000000" w:rsidRDefault="00ED6FB5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000000" w:rsidRDefault="00ED6FB5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000000" w:rsidRDefault="00ED6FB5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000000" w:rsidRDefault="00ED6FB5">
      <w:pPr>
        <w:pStyle w:val="ConsPlusTitle"/>
        <w:jc w:val="center"/>
      </w:pPr>
      <w:r>
        <w:t>ОПА</w:t>
      </w:r>
      <w:r>
        <w:t>СНЫХ, ТЕХНИЧЕСКИ СЛОЖНЫХ И УНИКАЛЬНЫХ ОБЪЕКТОВ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center"/>
        <w:outlineLvl w:val="1"/>
      </w:pPr>
      <w:r>
        <w:t>I. Общие положения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</w:t>
      </w:r>
      <w:r>
        <w:t>, капитального ремонта объектов капитального строительства (далее - саморегулируемая организация),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</w:t>
      </w:r>
      <w:r>
        <w:t xml:space="preserve">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1.2. Настоящая Методика используется для определения риска причинения вре</w:t>
      </w:r>
      <w:r>
        <w:t>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</w:t>
      </w:r>
      <w:r>
        <w:t>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</w:t>
      </w:r>
      <w:r>
        <w:t xml:space="preserve"> уникальных объектов, указанных в </w:t>
      </w:r>
      <w:hyperlink r:id="rId10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</w:t>
      </w:r>
      <w:r>
        <w:t>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</w:t>
      </w:r>
      <w:r>
        <w:t xml:space="preserve">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</w:t>
      </w:r>
      <w:r>
        <w:t>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</w:t>
      </w:r>
      <w:r>
        <w:t xml:space="preserve"> 4040, 4080; N 43, ст. 5452; N 52, ст. 6961, 6983; 2014, N 14, ст. 1557; N 16, ст. 1837; N 19, ст. 2336; N 26, ст. 3377, 3386, 3387; N 30, ст. 4218, 4220, 4225; N 42, ст. 5615; N 43, ст. 5799, 5804; N 48, ст. 6640; 2015, N 1, ст. 9, 11, 38, 52, 72, 86; N 1</w:t>
      </w:r>
      <w:r>
        <w:t xml:space="preserve">7, ст. 2477; N 27, ст. 3967; N 29, ст. 4339, 4342, 4350, 4378, 4389; N 48, ст. 6705; 2016, </w:t>
      </w:r>
      <w:r>
        <w:lastRenderedPageBreak/>
        <w:t>N 1, ст. 22, 79; N 26, ст. 3867; N 27, ст. 4248, 4294, 4301, 4302, 4303, 4304, 4305, 4306; N 52, ст. 7494; 2017, N 11, ст. 1540) (далее - объект контроля), требовани</w:t>
      </w:r>
      <w:r>
        <w:t xml:space="preserve">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</w:t>
      </w:r>
      <w:r>
        <w:t>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&lt;1&gt; В соотве</w:t>
      </w:r>
      <w:r>
        <w:t xml:space="preserve">тствии с </w:t>
      </w:r>
      <w:hyperlink r:id="rId11" w:history="1">
        <w:r>
          <w:rPr>
            <w:color w:val="0000FF"/>
          </w:rPr>
          <w:t>пунктом 1 части 2 статьи 55.13</w:t>
        </w:r>
      </w:hyperlink>
      <w:r>
        <w:t xml:space="preserve"> Градостроительного кодекса Российской Федерации.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1.3. Критерии отнесения объектов контроля к категориям риска</w:t>
      </w:r>
      <w:r>
        <w:t xml:space="preserve">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1.4. Оценка деятельности объекта контроля в зависимости о</w:t>
      </w:r>
      <w:r>
        <w:t>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</w:t>
      </w:r>
      <w:r>
        <w:t>можного несоблюдения объектом контроля обязательных требований и (или) вероятности их несоблюдения.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1.5. Основными показателями категорий рисков являются: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показатель, используемый для оценки вероят</w:t>
      </w:r>
      <w:r>
        <w:t>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1.6. Расчет значений показателей категорий рисков осуществляется путем соотнесения деятельности объекта контроля по каждому </w:t>
      </w:r>
      <w:r>
        <w:t>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</w:t>
      </w:r>
      <w:r>
        <w:t>ацией.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center"/>
        <w:outlineLvl w:val="1"/>
      </w:pPr>
      <w:r>
        <w:t>II. Расчет значений показателей тяжести потенциальных</w:t>
      </w:r>
    </w:p>
    <w:p w:rsidR="00000000" w:rsidRDefault="00ED6FB5">
      <w:pPr>
        <w:pStyle w:val="ConsPlusNormal"/>
        <w:jc w:val="center"/>
      </w:pPr>
      <w:r>
        <w:t>негативных последствий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lastRenderedPageBreak/>
        <w:t>2.2. Для расчета показателя тя</w:t>
      </w:r>
      <w:r>
        <w:t>жести потенциальных негативных последствий: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определяются факторы риска, указанные в </w:t>
      </w:r>
      <w:hyperlink w:anchor="Par75" w:tooltip="2.3. При определении показателя тяжести потенциальных негативных последствий рассматриваются следующие факторы риска:" w:history="1">
        <w:r>
          <w:rPr>
            <w:color w:val="0000FF"/>
          </w:rPr>
          <w:t>пункте 2.3</w:t>
        </w:r>
      </w:hyperlink>
      <w:r>
        <w:t xml:space="preserve"> настоящей Методи</w:t>
      </w:r>
      <w:r>
        <w:t>ки;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устанавливаются категории риска и их значимость;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осуществляется сопоставление значимости риска и категории риска.</w:t>
      </w:r>
    </w:p>
    <w:p w:rsidR="00000000" w:rsidRDefault="00ED6FB5">
      <w:pPr>
        <w:pStyle w:val="ConsPlusNormal"/>
        <w:spacing w:before="240"/>
        <w:ind w:firstLine="540"/>
        <w:jc w:val="both"/>
      </w:pPr>
      <w:bookmarkStart w:id="1" w:name="Par75"/>
      <w:bookmarkEnd w:id="1"/>
      <w: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</w:t>
      </w:r>
      <w:r>
        <w:t>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непр</w:t>
      </w:r>
      <w:r>
        <w:t>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</w:t>
      </w:r>
      <w:r>
        <w:t>бросовестных действий;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2.4. Для расчета значений показателя тяжести потенциальных негативных последствий используются</w:t>
      </w:r>
      <w:r>
        <w:t xml:space="preserve">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2.5. Каждая категория риска сопоставляется с соответствующим показателем его значимости.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Пример сопоставления значимос</w:t>
      </w:r>
      <w:r>
        <w:t xml:space="preserve">ти риска и категории риска приведены в </w:t>
      </w:r>
      <w:hyperlink w:anchor="Par84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2"/>
      </w:pPr>
      <w:bookmarkStart w:id="2" w:name="Par84"/>
      <w:bookmarkEnd w:id="2"/>
      <w:r>
        <w:t>Таблица 1</w:t>
      </w:r>
    </w:p>
    <w:p w:rsidR="00000000" w:rsidRDefault="00ED6F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9"/>
        <w:gridCol w:w="3989"/>
      </w:tblGrid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Значимость риска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lastRenderedPageBreak/>
              <w:t>Чрезвычайно 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2.6. По каждому фактору риска определяется категория риска исходя из допустимых значений фактора риска.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Пример количественной оценки фактора риска приведен в </w:t>
      </w:r>
      <w:hyperlink w:anchor="Par104" w:tooltip="Таблица 2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2"/>
      </w:pPr>
      <w:bookmarkStart w:id="3" w:name="Par104"/>
      <w:bookmarkEnd w:id="3"/>
      <w:r>
        <w:t>Таблица 2</w:t>
      </w:r>
    </w:p>
    <w:p w:rsidR="00000000" w:rsidRDefault="00ED6F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1876"/>
        <w:gridCol w:w="1450"/>
        <w:gridCol w:w="2054"/>
        <w:gridCol w:w="1928"/>
      </w:tblGrid>
      <w:tr w:rsidR="000000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Значимость риска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</w:t>
            </w:r>
            <w:r>
              <w:t>а риска</w:t>
            </w:r>
          </w:p>
        </w:tc>
      </w:tr>
      <w:tr w:rsidR="000000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 xml:space="preserve">8 </w:t>
            </w:r>
            <w:hyperlink w:anchor="Par133" w:tooltip="&lt;2&gt; Исходя из фактического показателя - 8, указанный фактор риска в отношении объекта контроля относится к &quot;Высокому риску&quot; с показателем его значимости &quot;5&quot;." w:history="1">
              <w:r>
                <w:rPr>
                  <w:color w:val="0000FF"/>
                </w:rPr>
                <w:t>&lt;2&gt;</w:t>
              </w:r>
            </w:hyperlink>
            <w:r>
              <w:t xml:space="preserve"> соответствует кат</w:t>
            </w:r>
            <w:r>
              <w:t>егории риска "Высокий риск" с фактическим значением тяжести потенциальных негативных последствий фактора риска "5"</w:t>
            </w: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</w:tbl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--------------------------------</w:t>
      </w:r>
    </w:p>
    <w:p w:rsidR="00000000" w:rsidRDefault="00ED6FB5">
      <w:pPr>
        <w:pStyle w:val="ConsPlusNormal"/>
        <w:spacing w:before="240"/>
        <w:ind w:firstLine="540"/>
        <w:jc w:val="both"/>
      </w:pPr>
      <w:bookmarkStart w:id="4" w:name="Par133"/>
      <w:bookmarkEnd w:id="4"/>
      <w: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Пример расчета показателя тяжести потенциальных негативных последствий приведен в </w:t>
      </w:r>
      <w:hyperlink w:anchor="Par138" w:tooltip="Таблица 3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2"/>
      </w:pPr>
      <w:bookmarkStart w:id="5" w:name="Par138"/>
      <w:bookmarkEnd w:id="5"/>
      <w:r>
        <w:t>Таблица 3</w:t>
      </w:r>
    </w:p>
    <w:p w:rsidR="00000000" w:rsidRDefault="00ED6F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5"/>
        <w:gridCol w:w="1718"/>
        <w:gridCol w:w="1587"/>
        <w:gridCol w:w="1842"/>
        <w:gridCol w:w="2171"/>
      </w:tblGrid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lastRenderedPageBreak/>
              <w:t>Наименование фактора риска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Показатель тяжести потенциальных негативных последствий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  <w:r>
              <w:t>Высокий риск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(5 + 1 + 3 + 2 + 3) / 5 = 2,8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  <w:r>
              <w:t xml:space="preserve">Числовое значение показателя тяжести потенциальных негативных последствий "2,8" определяет показатель </w:t>
            </w:r>
            <w:r>
              <w:t>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  <w:r>
              <w:t>Низкий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  <w:r>
              <w:t>Умеренный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</w:pPr>
          </w:p>
        </w:tc>
      </w:tr>
    </w:tbl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center"/>
        <w:outlineLvl w:val="1"/>
      </w:pPr>
      <w:r>
        <w:t>III. Расчет значений показателей вероятности несоблюдения</w:t>
      </w:r>
    </w:p>
    <w:p w:rsidR="00000000" w:rsidRDefault="00ED6FB5">
      <w:pPr>
        <w:pStyle w:val="ConsPlusNormal"/>
        <w:jc w:val="center"/>
      </w:pPr>
      <w:r>
        <w:t>обязательных требований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3.2. Для расчета показателя вероятности несоблюдения обязательных требований оценка вер</w:t>
      </w:r>
      <w:r>
        <w:t>оятности реализации риска учитывает вероятность реализации следующих факторов риска: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решений о применении саморегулируемой организ</w:t>
      </w:r>
      <w:r>
        <w:t>ацией в отношении объекта контроля мер дисциплинарного воздействия;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нарушений соответствия выполняемых работ обязательным требованиям, допущенных объектом контроля;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lastRenderedPageBreak/>
        <w:t>наличие фактов о предписаниях органов государственного (муниципального) конт</w:t>
      </w:r>
      <w:r>
        <w:t>роля (надзора), выданных объекту контроля;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о неисполненных предписаниях органов государственного (муниципального) контроля (надзора);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несоблюдения объектом контроля обязательных требований;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привлечения объекта контроля к административной ответственности;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о приостановлении деятельности объекта контроля в качестве меры административного наказания;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наличие фактов о произошедших у объекта контроля несчастных случаях </w:t>
      </w:r>
      <w:r>
        <w:t>на производстве и авариях, связанных с выполнением работ;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</w:t>
      </w:r>
      <w:r>
        <w:t>сно которым установлена вина объекта контроля в нанесении вреда (ущерба), связанного с недостатками выполненных работ.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3.3. По каждому фактору риска саморегулируемой организацией устанавливается допустимая частота его проявления за определенный промежуток </w:t>
      </w:r>
      <w:r>
        <w:t>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3.4. Для расчета показателя вероятности несоблюдения обязательных требований саморегулируемая организация устанавливает шкалу</w:t>
      </w:r>
      <w:r>
        <w:t xml:space="preserve">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 xml:space="preserve">Пример определения вероятности реализации фактора риска приведен в </w:t>
      </w:r>
      <w:hyperlink w:anchor="Par184" w:tooltip="Таблица 4" w:history="1">
        <w:r>
          <w:rPr>
            <w:color w:val="0000FF"/>
          </w:rPr>
          <w:t>Та</w:t>
        </w:r>
        <w:r>
          <w:rPr>
            <w:color w:val="0000FF"/>
          </w:rPr>
          <w:t>блице 4</w:t>
        </w:r>
      </w:hyperlink>
      <w:r>
        <w:t>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2"/>
      </w:pPr>
      <w:bookmarkStart w:id="6" w:name="Par184"/>
      <w:bookmarkEnd w:id="6"/>
      <w:r>
        <w:t>Таблица 4</w:t>
      </w:r>
    </w:p>
    <w:p w:rsidR="00000000" w:rsidRDefault="00ED6F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1"/>
        <w:gridCol w:w="1292"/>
        <w:gridCol w:w="1652"/>
        <w:gridCol w:w="1148"/>
        <w:gridCol w:w="1814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Значимость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Допустимые значения частоты проявлений факторов риска, установленные саморегулируемой организацией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Фактические данные частоты проявлений фактора риска объектом контро</w:t>
            </w:r>
            <w:r>
              <w:t>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</w:tr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6FB5">
            <w:pPr>
              <w:pStyle w:val="ConsPlusNormal"/>
              <w:jc w:val="center"/>
            </w:pPr>
            <w:r>
              <w:t xml:space="preserve">3 раза в </w:t>
            </w:r>
            <w:r>
              <w:lastRenderedPageBreak/>
              <w:t>установленный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lastRenderedPageBreak/>
              <w:t xml:space="preserve">Вероятность </w:t>
            </w:r>
            <w:r>
              <w:lastRenderedPageBreak/>
              <w:t>возникновения данного фактора риска находится в диапазоне "Средней" вероятности реализации риска с численным значением "3"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4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6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не 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Чрезвычайно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</w:tbl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000000" w:rsidRDefault="00ED6FB5">
      <w:pPr>
        <w:pStyle w:val="ConsPlusNormal"/>
        <w:spacing w:before="240"/>
        <w:ind w:firstLine="540"/>
        <w:jc w:val="both"/>
      </w:pPr>
      <w:r>
        <w:t>Пример расчета показателя вероятности несоблюдения обязательных т</w:t>
      </w:r>
      <w:r>
        <w:t xml:space="preserve">ребований приведен в </w:t>
      </w:r>
      <w:hyperlink w:anchor="Par217" w:tooltip="Таблица 5" w:history="1">
        <w:r>
          <w:rPr>
            <w:color w:val="0000FF"/>
          </w:rPr>
          <w:t>Таблице 5</w:t>
        </w:r>
      </w:hyperlink>
      <w:r>
        <w:t>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right"/>
        <w:outlineLvl w:val="2"/>
      </w:pPr>
      <w:bookmarkStart w:id="7" w:name="Par217"/>
      <w:bookmarkEnd w:id="7"/>
      <w:r>
        <w:t>Таблица 5</w:t>
      </w:r>
    </w:p>
    <w:p w:rsidR="00000000" w:rsidRDefault="00ED6F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247"/>
        <w:gridCol w:w="1608"/>
        <w:gridCol w:w="1814"/>
        <w:gridCol w:w="2534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К</w:t>
            </w:r>
            <w:r>
              <w:t>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(3 + 5 + 1 + 1 + 2) / 5 = 2,4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Численное значение показателя вероятности несоблюдения обязательных требований "2,4" определяет показатель 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FB5">
            <w:pPr>
              <w:pStyle w:val="ConsPlusNormal"/>
              <w:jc w:val="center"/>
            </w:pPr>
          </w:p>
        </w:tc>
      </w:tr>
    </w:tbl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ind w:firstLine="540"/>
        <w:jc w:val="both"/>
      </w:pPr>
      <w: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000000" w:rsidRDefault="00ED6FB5">
      <w:pPr>
        <w:pStyle w:val="ConsPlusNormal"/>
        <w:jc w:val="both"/>
      </w:pPr>
    </w:p>
    <w:p w:rsidR="00000000" w:rsidRDefault="00ED6FB5">
      <w:pPr>
        <w:pStyle w:val="ConsPlusNormal"/>
        <w:jc w:val="both"/>
      </w:pPr>
    </w:p>
    <w:p w:rsidR="00ED6FB5" w:rsidRDefault="00ED6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6FB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B5" w:rsidRDefault="00ED6FB5">
      <w:pPr>
        <w:spacing w:after="0" w:line="240" w:lineRule="auto"/>
      </w:pPr>
      <w:r>
        <w:separator/>
      </w:r>
    </w:p>
  </w:endnote>
  <w:endnote w:type="continuationSeparator" w:id="0">
    <w:p w:rsidR="00ED6FB5" w:rsidRDefault="00ED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F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653D">
            <w:rPr>
              <w:sz w:val="20"/>
              <w:szCs w:val="20"/>
            </w:rPr>
            <w:fldChar w:fldCharType="separate"/>
          </w:r>
          <w:r w:rsidR="009F653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653D">
            <w:rPr>
              <w:sz w:val="20"/>
              <w:szCs w:val="20"/>
            </w:rPr>
            <w:fldChar w:fldCharType="separate"/>
          </w:r>
          <w:r w:rsidR="009F653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6F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B5" w:rsidRDefault="00ED6FB5">
      <w:pPr>
        <w:spacing w:after="0" w:line="240" w:lineRule="auto"/>
      </w:pPr>
      <w:r>
        <w:separator/>
      </w:r>
    </w:p>
  </w:footnote>
  <w:footnote w:type="continuationSeparator" w:id="0">
    <w:p w:rsidR="00ED6FB5" w:rsidRDefault="00ED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10.04.2017 N 699/пр</w:t>
          </w:r>
          <w:r>
            <w:rPr>
              <w:sz w:val="16"/>
              <w:szCs w:val="16"/>
            </w:rPr>
            <w:br/>
            <w:t>"Об утверждении Методики расчета значений показателей, используемых для оц...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jc w:val="center"/>
          </w:pPr>
        </w:p>
        <w:p w:rsidR="00000000" w:rsidRDefault="00ED6F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F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02.06.2020</w:t>
          </w:r>
        </w:p>
      </w:tc>
    </w:tr>
  </w:tbl>
  <w:p w:rsidR="00000000" w:rsidRDefault="00ED6F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6F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0588"/>
    <w:rsid w:val="009F0588"/>
    <w:rsid w:val="009F653D"/>
    <w:rsid w:val="00E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1269&amp;date=02.06.2020&amp;dst=1877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51269&amp;date=02.06.2020&amp;dst=13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1269&amp;date=02.06.2020&amp;dst=1879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14664</Characters>
  <Application>Microsoft Office Word</Application>
  <DocSecurity>2</DocSecurity>
  <Lines>122</Lines>
  <Paragraphs>34</Paragraphs>
  <ScaleCrop>false</ScaleCrop>
  <Company>КонсультантПлюс Версия 4018.00.50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10.04.2017 N 699/пр"Об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</dc:title>
  <dc:creator>guzanovka</dc:creator>
  <cp:lastModifiedBy>guzanovka</cp:lastModifiedBy>
  <cp:revision>2</cp:revision>
  <dcterms:created xsi:type="dcterms:W3CDTF">2020-06-02T06:04:00Z</dcterms:created>
  <dcterms:modified xsi:type="dcterms:W3CDTF">2020-06-02T06:04:00Z</dcterms:modified>
</cp:coreProperties>
</file>